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Ind w:w="46"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22"/>
        <w:gridCol w:w="1254"/>
        <w:gridCol w:w="1513"/>
        <w:gridCol w:w="3611"/>
        <w:gridCol w:w="2539"/>
        <w:gridCol w:w="21"/>
      </w:tblGrid>
      <w:tr w:rsidR="008D7AC1" w14:paraId="00AB8ACF" w14:textId="77777777">
        <w:trPr>
          <w:gridBefore w:val="1"/>
          <w:gridAfter w:val="1"/>
          <w:wBefore w:w="24" w:type="dxa"/>
          <w:wAfter w:w="24" w:type="dxa"/>
          <w:trHeight w:val="1096"/>
        </w:trPr>
        <w:tc>
          <w:tcPr>
            <w:tcW w:w="2782" w:type="dxa"/>
            <w:gridSpan w:val="2"/>
            <w:tcBorders>
              <w:top w:val="single" w:sz="8" w:space="0" w:color="000000"/>
              <w:left w:val="single" w:sz="8" w:space="0" w:color="4C4C4C"/>
              <w:bottom w:val="single" w:sz="2" w:space="0" w:color="4C4C4C"/>
              <w:right w:val="single" w:sz="2" w:space="0" w:color="4C4C4C"/>
            </w:tcBorders>
            <w:tcMar>
              <w:top w:w="0" w:type="dxa"/>
              <w:left w:w="0" w:type="dxa"/>
              <w:bottom w:w="0" w:type="dxa"/>
              <w:right w:w="0" w:type="dxa"/>
            </w:tcMar>
            <w:vAlign w:val="center"/>
          </w:tcPr>
          <w:p w14:paraId="412D0957" w14:textId="77777777" w:rsidR="008D7AC1" w:rsidRDefault="008D7AC1">
            <w:pPr>
              <w:pStyle w:val="FFFFB9FFFFD9FFFFC5FFFFC1FFFFB1FFFFDB"/>
              <w:wordWrap/>
              <w:spacing w:line="312" w:lineRule="auto"/>
              <w:ind w:left="464" w:hanging="464"/>
              <w:jc w:val="center"/>
              <w:rPr>
                <w:rFonts w:ascii="함초롬돋움" w:eastAsia="HY헤드라인M" w:hAnsi="함초롬돋움" w:cs="함초롬돋움"/>
                <w:b/>
                <w:bCs/>
                <w:sz w:val="32"/>
                <w:szCs w:val="32"/>
              </w:rPr>
            </w:pPr>
            <w:r>
              <w:rPr>
                <w:rFonts w:ascii="함초롬돋움" w:eastAsia="HY헤드라인M" w:hAnsi="함초롬돋움" w:cs="함초롬돋움" w:hint="eastAsia"/>
                <w:b/>
                <w:bCs/>
                <w:sz w:val="32"/>
                <w:szCs w:val="32"/>
              </w:rPr>
              <w:t>사</w:t>
            </w:r>
            <w:r>
              <w:rPr>
                <w:rFonts w:ascii="함초롬돋움" w:eastAsia="HY헤드라인M" w:hAnsi="함초롬돋움" w:cs="함초롬돋움"/>
                <w:b/>
                <w:bCs/>
                <w:sz w:val="32"/>
                <w:szCs w:val="32"/>
              </w:rPr>
              <w:t>)</w:t>
            </w:r>
            <w:r>
              <w:rPr>
                <w:rFonts w:ascii="함초롬돋움" w:eastAsia="HY헤드라인M" w:hAnsi="함초롬돋움" w:cs="함초롬돋움" w:hint="eastAsia"/>
                <w:b/>
                <w:bCs/>
                <w:sz w:val="32"/>
                <w:szCs w:val="32"/>
              </w:rPr>
              <w:t>에너지전환포럼</w:t>
            </w:r>
          </w:p>
          <w:p w14:paraId="77CC1449" w14:textId="77777777" w:rsidR="008D7AC1" w:rsidRDefault="008D7AC1">
            <w:pPr>
              <w:pStyle w:val="FFFFB9FFFFD9FFFFC5FFFFC1FFFFB1FFFFDB"/>
              <w:wordWrap/>
              <w:spacing w:line="312" w:lineRule="auto"/>
              <w:ind w:left="464" w:hanging="464"/>
              <w:jc w:val="center"/>
              <w:rPr>
                <w:rFonts w:ascii="한컴바탕" w:eastAsia="한컴바탕" w:hAnsi="한컴바탕" w:cs="한컴바탕"/>
              </w:rPr>
            </w:pPr>
            <w:r>
              <w:rPr>
                <w:rFonts w:ascii="한컴바탕" w:eastAsia="한컴바탕" w:hAnsi="한컴바탕" w:cs="한컴바탕" w:hint="eastAsia"/>
              </w:rPr>
              <w:t>공동대표</w:t>
            </w:r>
            <w:r>
              <w:rPr>
                <w:rFonts w:ascii="한컴바탕" w:eastAsia="한컴바탕" w:hAnsi="한컴바탕" w:cs="한컴바탕"/>
              </w:rPr>
              <w:t xml:space="preserve"> </w:t>
            </w:r>
            <w:r>
              <w:rPr>
                <w:rFonts w:ascii="한컴바탕" w:eastAsia="한컴바탕" w:hAnsi="한컴바탕" w:cs="한컴바탕" w:hint="eastAsia"/>
              </w:rPr>
              <w:t>홍종호</w:t>
            </w:r>
            <w:r>
              <w:rPr>
                <w:rFonts w:ascii="한컴바탕" w:eastAsia="한컴바탕" w:hAnsi="한컴바탕" w:cs="한컴바탕"/>
              </w:rPr>
              <w:t xml:space="preserve">, </w:t>
            </w:r>
            <w:r>
              <w:rPr>
                <w:rFonts w:ascii="한컴바탕" w:eastAsia="한컴바탕" w:hAnsi="한컴바탕" w:cs="한컴바탕" w:hint="eastAsia"/>
              </w:rPr>
              <w:t>임성진</w:t>
            </w:r>
            <w:r>
              <w:rPr>
                <w:rFonts w:ascii="한컴바탕" w:eastAsia="한컴바탕" w:hAnsi="한컴바탕" w:cs="한컴바탕"/>
              </w:rPr>
              <w:t xml:space="preserve">, </w:t>
            </w:r>
          </w:p>
          <w:p w14:paraId="6B3331DF" w14:textId="77777777" w:rsidR="008D7AC1" w:rsidRDefault="008D7AC1">
            <w:pPr>
              <w:pStyle w:val="FFFFB9FFFFD9FFFFC5FFFFC1FFFFB1FFFFDB"/>
              <w:wordWrap/>
              <w:spacing w:line="312" w:lineRule="auto"/>
              <w:ind w:left="464" w:hanging="464"/>
              <w:jc w:val="center"/>
              <w:rPr>
                <w:rFonts w:ascii="한컴바탕" w:eastAsia="한컴바탕" w:hAnsi="한컴바탕" w:cs="한컴바탕"/>
              </w:rPr>
            </w:pPr>
            <w:r>
              <w:rPr>
                <w:rFonts w:ascii="한컴바탕" w:eastAsia="한컴바탕" w:hAnsi="한컴바탕" w:cs="한컴바탕"/>
              </w:rPr>
              <w:t xml:space="preserve">         </w:t>
            </w:r>
            <w:r>
              <w:rPr>
                <w:rFonts w:ascii="한컴바탕" w:eastAsia="한컴바탕" w:hAnsi="한컴바탕" w:cs="한컴바탕" w:hint="eastAsia"/>
              </w:rPr>
              <w:t>전영환</w:t>
            </w:r>
            <w:r>
              <w:rPr>
                <w:rFonts w:ascii="한컴바탕" w:eastAsia="한컴바탕" w:hAnsi="한컴바탕" w:cs="한컴바탕"/>
              </w:rPr>
              <w:t xml:space="preserve">, </w:t>
            </w:r>
            <w:r>
              <w:rPr>
                <w:rFonts w:ascii="한컴바탕" w:eastAsia="한컴바탕" w:hAnsi="한컴바탕" w:cs="한컴바탕" w:hint="eastAsia"/>
              </w:rPr>
              <w:t>박진희</w:t>
            </w:r>
          </w:p>
        </w:tc>
        <w:tc>
          <w:tcPr>
            <w:tcW w:w="4042" w:type="dxa"/>
            <w:tcBorders>
              <w:top w:val="single" w:sz="8" w:space="0" w:color="000000"/>
              <w:left w:val="nil"/>
              <w:bottom w:val="single" w:sz="2" w:space="0" w:color="4C4C4C"/>
              <w:right w:val="single" w:sz="2" w:space="0" w:color="4C4C4C"/>
            </w:tcBorders>
            <w:tcMar>
              <w:top w:w="0" w:type="dxa"/>
              <w:left w:w="0" w:type="dxa"/>
              <w:bottom w:w="0" w:type="dxa"/>
              <w:right w:w="0" w:type="dxa"/>
            </w:tcMar>
            <w:vAlign w:val="center"/>
          </w:tcPr>
          <w:p w14:paraId="260D33DF" w14:textId="5A5E33EE" w:rsidR="008D7AC1" w:rsidRDefault="00A839D8" w:rsidP="00A839D8">
            <w:pPr>
              <w:pStyle w:val="FFFFB9FFFFD9FFFFC5FFFFC1FFFFB1FFFFDB"/>
              <w:wordWrap/>
              <w:spacing w:line="312" w:lineRule="auto"/>
              <w:ind w:left="464" w:hanging="464"/>
              <w:jc w:val="center"/>
              <w:rPr>
                <w:rFonts w:ascii="함초롬돋움" w:eastAsia="HY헤드라인M" w:hAnsi="함초롬돋움" w:cs="함초롬돋움"/>
                <w:b/>
                <w:bCs/>
                <w:spacing w:val="-25"/>
                <w:sz w:val="56"/>
                <w:szCs w:val="56"/>
              </w:rPr>
            </w:pPr>
            <w:r>
              <w:rPr>
                <w:rFonts w:ascii="함초롬돋움" w:eastAsia="HY헤드라인M" w:hAnsi="함초롬돋움" w:cs="함초롬돋움" w:hint="eastAsia"/>
                <w:b/>
                <w:bCs/>
                <w:spacing w:val="-25"/>
                <w:sz w:val="56"/>
                <w:szCs w:val="56"/>
              </w:rPr>
              <w:t>논</w:t>
            </w:r>
            <w:r>
              <w:rPr>
                <w:rFonts w:ascii="함초롬돋움" w:eastAsia="HY헤드라인M" w:hAnsi="함초롬돋움" w:cs="함초롬돋움" w:hint="eastAsia"/>
                <w:b/>
                <w:bCs/>
                <w:spacing w:val="-25"/>
                <w:sz w:val="56"/>
                <w:szCs w:val="56"/>
              </w:rPr>
              <w:t xml:space="preserve"> </w:t>
            </w:r>
            <w:r>
              <w:rPr>
                <w:rFonts w:ascii="함초롬돋움" w:eastAsia="HY헤드라인M" w:hAnsi="함초롬돋움" w:cs="함초롬돋움"/>
                <w:b/>
                <w:bCs/>
                <w:spacing w:val="-25"/>
                <w:sz w:val="56"/>
                <w:szCs w:val="56"/>
              </w:rPr>
              <w:t xml:space="preserve"> </w:t>
            </w:r>
            <w:r w:rsidR="008D7AC1">
              <w:rPr>
                <w:rFonts w:ascii="함초롬돋움" w:eastAsia="HY헤드라인M" w:hAnsi="함초롬돋움" w:cs="함초롬돋움"/>
                <w:b/>
                <w:bCs/>
                <w:spacing w:val="-25"/>
                <w:sz w:val="56"/>
                <w:szCs w:val="56"/>
              </w:rPr>
              <w:t xml:space="preserve"> </w:t>
            </w:r>
            <w:r>
              <w:rPr>
                <w:rFonts w:ascii="함초롬돋움" w:eastAsia="HY헤드라인M" w:hAnsi="함초롬돋움" w:cs="함초롬돋움" w:hint="eastAsia"/>
                <w:b/>
                <w:bCs/>
                <w:spacing w:val="-25"/>
                <w:sz w:val="56"/>
                <w:szCs w:val="56"/>
              </w:rPr>
              <w:t>평</w:t>
            </w:r>
          </w:p>
        </w:tc>
        <w:tc>
          <w:tcPr>
            <w:tcW w:w="2653" w:type="dxa"/>
            <w:tcBorders>
              <w:top w:val="single" w:sz="8" w:space="0" w:color="000000"/>
              <w:left w:val="nil"/>
              <w:bottom w:val="single" w:sz="2" w:space="0" w:color="4C4C4C"/>
              <w:right w:val="single" w:sz="8" w:space="0" w:color="4C4C4C"/>
            </w:tcBorders>
            <w:vAlign w:val="center"/>
          </w:tcPr>
          <w:p w14:paraId="638BAF3A" w14:textId="77777777" w:rsidR="008D7AC1" w:rsidRDefault="008D7AC1">
            <w:pPr>
              <w:pStyle w:val="FFFFB9FFFFD9FFFFC5FFFFC1FFFFB1FFFFDB"/>
              <w:wordWrap/>
              <w:jc w:val="center"/>
              <w:rPr>
                <w:rFonts w:ascii="Arial" w:hAnsi="Arial" w:cs="Arial"/>
                <w:b/>
                <w:bCs/>
                <w:color w:val="0D6DB8"/>
                <w:sz w:val="22"/>
                <w:szCs w:val="22"/>
              </w:rPr>
            </w:pPr>
            <w:r>
              <w:rPr>
                <w:rFonts w:ascii="Arial" w:hAnsi="Arial" w:cs="Arial"/>
                <w:b/>
                <w:bCs/>
                <w:color w:val="0D6DB8"/>
                <w:sz w:val="22"/>
                <w:szCs w:val="22"/>
              </w:rPr>
              <w:t>“</w:t>
            </w:r>
            <w:r>
              <w:rPr>
                <w:rFonts w:ascii="Arial" w:hAnsi="Arial" w:cs="Arial" w:hint="eastAsia"/>
                <w:b/>
                <w:bCs/>
                <w:color w:val="0D6DB8"/>
                <w:sz w:val="22"/>
                <w:szCs w:val="22"/>
              </w:rPr>
              <w:t>사람</w:t>
            </w:r>
            <w:r>
              <w:rPr>
                <w:rFonts w:ascii="MS Gothic" w:eastAsia="MS Gothic" w:hAnsi="MS Gothic" w:cs="MS Gothic" w:hint="eastAsia"/>
                <w:b/>
                <w:bCs/>
                <w:color w:val="0D6DB8"/>
                <w:sz w:val="22"/>
                <w:szCs w:val="22"/>
              </w:rPr>
              <w:t>‧</w:t>
            </w:r>
            <w:r>
              <w:rPr>
                <w:rFonts w:ascii="Arial" w:hAnsi="Arial" w:cs="Arial" w:hint="eastAsia"/>
                <w:b/>
                <w:bCs/>
                <w:color w:val="0D6DB8"/>
                <w:sz w:val="22"/>
                <w:szCs w:val="22"/>
              </w:rPr>
              <w:t>환경</w:t>
            </w:r>
            <w:r>
              <w:rPr>
                <w:rFonts w:ascii="MS Gothic" w:eastAsia="MS Gothic" w:hAnsi="MS Gothic" w:cs="MS Gothic" w:hint="eastAsia"/>
                <w:b/>
                <w:bCs/>
                <w:color w:val="0D6DB8"/>
                <w:sz w:val="22"/>
                <w:szCs w:val="22"/>
              </w:rPr>
              <w:t>‧</w:t>
            </w:r>
            <w:r>
              <w:rPr>
                <w:rFonts w:ascii="Arial" w:hAnsi="Arial" w:cs="Arial" w:hint="eastAsia"/>
                <w:b/>
                <w:bCs/>
                <w:color w:val="0D6DB8"/>
                <w:sz w:val="22"/>
                <w:szCs w:val="22"/>
              </w:rPr>
              <w:t>미래를</w:t>
            </w:r>
            <w:r>
              <w:rPr>
                <w:rFonts w:ascii="Arial" w:hAnsi="Arial" w:cs="Arial"/>
                <w:b/>
                <w:bCs/>
                <w:color w:val="0D6DB8"/>
                <w:sz w:val="22"/>
                <w:szCs w:val="22"/>
              </w:rPr>
              <w:t xml:space="preserve"> </w:t>
            </w:r>
            <w:r>
              <w:rPr>
                <w:rFonts w:ascii="Arial" w:hAnsi="Arial" w:cs="Arial" w:hint="eastAsia"/>
                <w:b/>
                <w:bCs/>
                <w:color w:val="0D6DB8"/>
                <w:sz w:val="22"/>
                <w:szCs w:val="22"/>
              </w:rPr>
              <w:t>위한</w:t>
            </w:r>
          </w:p>
          <w:p w14:paraId="00CE2D46" w14:textId="77777777" w:rsidR="008D7AC1" w:rsidRDefault="008D7AC1">
            <w:pPr>
              <w:pStyle w:val="FFFFB9FFFFD9FFFFC5FFFFC1FFFFB1FFFFDB"/>
              <w:wordWrap/>
              <w:jc w:val="center"/>
              <w:rPr>
                <w:rFonts w:ascii="Arial" w:hAnsi="Arial" w:cs="Arial"/>
                <w:b/>
                <w:bCs/>
                <w:color w:val="0D6DB8"/>
                <w:sz w:val="22"/>
                <w:szCs w:val="22"/>
              </w:rPr>
            </w:pPr>
            <w:r>
              <w:rPr>
                <w:rFonts w:ascii="Arial" w:hAnsi="Arial" w:cs="Arial" w:hint="eastAsia"/>
                <w:b/>
                <w:bCs/>
                <w:color w:val="0D6DB8"/>
                <w:sz w:val="22"/>
                <w:szCs w:val="22"/>
              </w:rPr>
              <w:t>에너지전환</w:t>
            </w:r>
            <w:r>
              <w:rPr>
                <w:rFonts w:ascii="Arial" w:hAnsi="Arial" w:cs="Arial"/>
                <w:b/>
                <w:bCs/>
                <w:color w:val="0D6DB8"/>
                <w:sz w:val="22"/>
                <w:szCs w:val="22"/>
              </w:rPr>
              <w:t>”</w:t>
            </w:r>
          </w:p>
        </w:tc>
      </w:tr>
      <w:tr w:rsidR="008D7AC1" w14:paraId="18B91E38" w14:textId="77777777">
        <w:trPr>
          <w:gridBefore w:val="1"/>
          <w:gridAfter w:val="1"/>
          <w:wBefore w:w="24" w:type="dxa"/>
          <w:wAfter w:w="24" w:type="dxa"/>
          <w:trHeight w:val="373"/>
        </w:trPr>
        <w:tc>
          <w:tcPr>
            <w:tcW w:w="9477" w:type="dxa"/>
            <w:gridSpan w:val="4"/>
            <w:tcBorders>
              <w:top w:val="single" w:sz="2" w:space="0" w:color="4C4C4C"/>
              <w:left w:val="single" w:sz="8" w:space="0" w:color="4C4C4C"/>
              <w:bottom w:val="single" w:sz="3" w:space="0" w:color="4C4C4C"/>
              <w:right w:val="single" w:sz="8" w:space="0" w:color="4C4C4C"/>
            </w:tcBorders>
            <w:vAlign w:val="center"/>
          </w:tcPr>
          <w:p w14:paraId="4FF8D967" w14:textId="6C2DBD40" w:rsidR="008D7AC1" w:rsidRDefault="008D7AC1">
            <w:pPr>
              <w:pStyle w:val="FFFFB9FFFFD9FFFFC5FFFFC1FFFFB1FFFFDB"/>
              <w:wordWrap/>
              <w:spacing w:line="312" w:lineRule="auto"/>
              <w:jc w:val="center"/>
              <w:rPr>
                <w:rFonts w:ascii="ÇÔÃÊ·Òµ¸¿ò" w:eastAsia="휴먼명조" w:hAnsi="ÇÔÃÊ·Òµ¸¿ò" w:cs="ÇÔÃÊ·Òµ¸¿ò"/>
                <w:b/>
                <w:bCs/>
                <w:spacing w:val="-6"/>
                <w:sz w:val="16"/>
                <w:szCs w:val="16"/>
              </w:rPr>
            </w:pPr>
            <w:r>
              <w:rPr>
                <w:rFonts w:ascii="맑은 고딕" w:eastAsia="맑은 고딕" w:hAnsi="맑은 고딕" w:cs="맑은 고딕"/>
                <w:b/>
                <w:bCs/>
                <w:sz w:val="26"/>
                <w:szCs w:val="26"/>
              </w:rPr>
              <w:t>2023</w:t>
            </w:r>
            <w:r>
              <w:rPr>
                <w:rFonts w:ascii="맑은 고딕" w:eastAsia="맑은 고딕" w:hAnsi="맑은 고딕" w:cs="맑은 고딕" w:hint="eastAsia"/>
                <w:b/>
                <w:bCs/>
                <w:sz w:val="26"/>
                <w:szCs w:val="26"/>
              </w:rPr>
              <w:t>년</w:t>
            </w:r>
            <w:r>
              <w:rPr>
                <w:rFonts w:ascii="맑은 고딕" w:eastAsia="맑은 고딕" w:hAnsi="맑은 고딕" w:cs="맑은 고딕"/>
                <w:b/>
                <w:bCs/>
                <w:sz w:val="26"/>
                <w:szCs w:val="26"/>
              </w:rPr>
              <w:t xml:space="preserve"> </w:t>
            </w:r>
            <w:r w:rsidR="00A839D8">
              <w:rPr>
                <w:rFonts w:ascii="맑은 고딕" w:eastAsia="맑은 고딕" w:hAnsi="맑은 고딕" w:cs="맑은 고딕"/>
                <w:b/>
                <w:bCs/>
                <w:sz w:val="26"/>
                <w:szCs w:val="26"/>
              </w:rPr>
              <w:t>4</w:t>
            </w:r>
            <w:r>
              <w:rPr>
                <w:rFonts w:ascii="맑은 고딕" w:eastAsia="맑은 고딕" w:hAnsi="맑은 고딕" w:cs="맑은 고딕" w:hint="eastAsia"/>
                <w:b/>
                <w:bCs/>
                <w:sz w:val="26"/>
                <w:szCs w:val="26"/>
              </w:rPr>
              <w:t>월</w:t>
            </w:r>
            <w:r>
              <w:rPr>
                <w:rFonts w:ascii="맑은 고딕" w:eastAsia="맑은 고딕" w:hAnsi="맑은 고딕" w:cs="맑은 고딕"/>
                <w:b/>
                <w:bCs/>
                <w:sz w:val="26"/>
                <w:szCs w:val="26"/>
              </w:rPr>
              <w:t xml:space="preserve"> </w:t>
            </w:r>
            <w:r w:rsidR="00A839D8">
              <w:rPr>
                <w:rFonts w:ascii="맑은 고딕" w:eastAsia="맑은 고딕" w:hAnsi="맑은 고딕" w:cs="맑은 고딕"/>
                <w:b/>
                <w:bCs/>
                <w:sz w:val="26"/>
                <w:szCs w:val="26"/>
              </w:rPr>
              <w:t>28</w:t>
            </w:r>
            <w:r>
              <w:rPr>
                <w:rFonts w:ascii="맑은 고딕" w:eastAsia="맑은 고딕" w:hAnsi="맑은 고딕" w:cs="맑은 고딕" w:hint="eastAsia"/>
                <w:b/>
                <w:bCs/>
                <w:sz w:val="26"/>
                <w:szCs w:val="26"/>
              </w:rPr>
              <w:t>일</w:t>
            </w:r>
            <w:r>
              <w:rPr>
                <w:rFonts w:ascii="맑은 고딕" w:eastAsia="맑은 고딕" w:hAnsi="맑은 고딕" w:cs="맑은 고딕"/>
                <w:b/>
                <w:bCs/>
                <w:sz w:val="26"/>
                <w:szCs w:val="26"/>
              </w:rPr>
              <w:t xml:space="preserve"> (</w:t>
            </w:r>
            <w:r w:rsidR="00A839D8">
              <w:rPr>
                <w:rFonts w:ascii="맑은 고딕" w:eastAsia="맑은 고딕" w:hAnsi="맑은 고딕" w:cs="맑은 고딕" w:hint="eastAsia"/>
                <w:b/>
                <w:bCs/>
                <w:sz w:val="26"/>
                <w:szCs w:val="26"/>
              </w:rPr>
              <w:t>금</w:t>
            </w:r>
            <w:r>
              <w:rPr>
                <w:rFonts w:ascii="맑은 고딕" w:eastAsia="맑은 고딕" w:hAnsi="맑은 고딕" w:cs="맑은 고딕"/>
                <w:b/>
                <w:bCs/>
                <w:sz w:val="26"/>
                <w:szCs w:val="26"/>
              </w:rPr>
              <w:t xml:space="preserve">) </w:t>
            </w:r>
            <w:r>
              <w:rPr>
                <w:rFonts w:ascii="맑은 고딕" w:eastAsia="맑은 고딕" w:hAnsi="맑은 고딕" w:cs="맑은 고딕" w:hint="eastAsia"/>
                <w:b/>
                <w:bCs/>
                <w:sz w:val="26"/>
                <w:szCs w:val="26"/>
              </w:rPr>
              <w:t>즉시</w:t>
            </w:r>
            <w:r>
              <w:rPr>
                <w:rFonts w:ascii="맑은 고딕" w:eastAsia="맑은 고딕" w:hAnsi="맑은 고딕" w:cs="맑은 고딕"/>
                <w:b/>
                <w:bCs/>
                <w:sz w:val="26"/>
                <w:szCs w:val="26"/>
              </w:rPr>
              <w:t xml:space="preserve"> </w:t>
            </w:r>
            <w:r>
              <w:rPr>
                <w:rFonts w:ascii="맑은 고딕" w:eastAsia="맑은 고딕" w:hAnsi="맑은 고딕" w:cs="맑은 고딕" w:hint="eastAsia"/>
                <w:b/>
                <w:bCs/>
                <w:sz w:val="26"/>
                <w:szCs w:val="26"/>
              </w:rPr>
              <w:t>보도</w:t>
            </w:r>
            <w:r>
              <w:rPr>
                <w:rFonts w:ascii="맑은 고딕" w:eastAsia="맑은 고딕" w:hAnsi="맑은 고딕" w:cs="맑은 고딕"/>
                <w:b/>
                <w:bCs/>
                <w:sz w:val="26"/>
                <w:szCs w:val="26"/>
              </w:rPr>
              <w:t xml:space="preserve"> </w:t>
            </w:r>
            <w:r>
              <w:rPr>
                <w:rFonts w:ascii="맑은 고딕" w:eastAsia="맑은 고딕" w:hAnsi="맑은 고딕" w:cs="맑은 고딕" w:hint="eastAsia"/>
                <w:b/>
                <w:bCs/>
                <w:sz w:val="26"/>
                <w:szCs w:val="26"/>
              </w:rPr>
              <w:t>가능합니다</w:t>
            </w:r>
            <w:r>
              <w:rPr>
                <w:rFonts w:ascii="맑은 고딕" w:eastAsia="맑은 고딕" w:hAnsi="맑은 고딕" w:cs="맑은 고딕"/>
                <w:sz w:val="26"/>
                <w:szCs w:val="26"/>
              </w:rPr>
              <w:t xml:space="preserve"> </w:t>
            </w:r>
          </w:p>
        </w:tc>
      </w:tr>
      <w:tr w:rsidR="008D7AC1" w14:paraId="30E0734D" w14:textId="77777777">
        <w:trPr>
          <w:gridBefore w:val="1"/>
          <w:gridAfter w:val="1"/>
          <w:wBefore w:w="24" w:type="dxa"/>
          <w:wAfter w:w="24" w:type="dxa"/>
          <w:trHeight w:val="317"/>
        </w:trPr>
        <w:tc>
          <w:tcPr>
            <w:tcW w:w="1254" w:type="dxa"/>
            <w:tcBorders>
              <w:top w:val="single" w:sz="3" w:space="0" w:color="4C4C4C"/>
              <w:left w:val="single" w:sz="8" w:space="0" w:color="4C4C4C"/>
              <w:bottom w:val="single" w:sz="2" w:space="0" w:color="4C4C4C"/>
              <w:right w:val="single" w:sz="2" w:space="0" w:color="4C4C4C"/>
            </w:tcBorders>
            <w:vAlign w:val="center"/>
          </w:tcPr>
          <w:p w14:paraId="10C914C0" w14:textId="77777777" w:rsidR="008D7AC1" w:rsidRDefault="008D7AC1">
            <w:pPr>
              <w:pStyle w:val="FFFFB9FFFFD9FFFFC5FFFFC1FFFFB1FFFFDB"/>
              <w:wordWrap/>
              <w:spacing w:line="312" w:lineRule="auto"/>
              <w:ind w:left="859" w:hanging="859"/>
              <w:jc w:val="center"/>
              <w:rPr>
                <w:rFonts w:ascii="맑은 고딕" w:eastAsia="맑은 고딕" w:hAnsi="맑은 고딕" w:cs="맑은 고딕"/>
                <w:sz w:val="26"/>
                <w:szCs w:val="26"/>
              </w:rPr>
            </w:pPr>
            <w:r>
              <w:rPr>
                <w:rFonts w:ascii="맑은 고딕" w:eastAsia="맑은 고딕" w:hAnsi="맑은 고딕" w:cs="맑은 고딕" w:hint="eastAsia"/>
                <w:sz w:val="26"/>
                <w:szCs w:val="26"/>
              </w:rPr>
              <w:t>배</w:t>
            </w:r>
            <w:r>
              <w:rPr>
                <w:rFonts w:ascii="맑은 고딕" w:eastAsia="맑은 고딕" w:hAnsi="맑은 고딕" w:cs="맑은 고딕"/>
                <w:sz w:val="26"/>
                <w:szCs w:val="26"/>
              </w:rPr>
              <w:t xml:space="preserve"> </w:t>
            </w:r>
            <w:r>
              <w:rPr>
                <w:rFonts w:ascii="맑은 고딕" w:eastAsia="맑은 고딕" w:hAnsi="맑은 고딕" w:cs="맑은 고딕" w:hint="eastAsia"/>
                <w:sz w:val="26"/>
                <w:szCs w:val="26"/>
              </w:rPr>
              <w:t>포</w:t>
            </w:r>
          </w:p>
        </w:tc>
        <w:tc>
          <w:tcPr>
            <w:tcW w:w="8223" w:type="dxa"/>
            <w:gridSpan w:val="3"/>
            <w:tcBorders>
              <w:top w:val="single" w:sz="3" w:space="0" w:color="4C4C4C"/>
              <w:left w:val="single" w:sz="2" w:space="0" w:color="4C4C4C"/>
              <w:bottom w:val="single" w:sz="2" w:space="0" w:color="4C4C4C"/>
              <w:right w:val="single" w:sz="8" w:space="0" w:color="4C4C4C"/>
            </w:tcBorders>
            <w:vAlign w:val="center"/>
          </w:tcPr>
          <w:p w14:paraId="0D2DCB64" w14:textId="614DC6BC" w:rsidR="008D7AC1" w:rsidRDefault="008D7AC1">
            <w:pPr>
              <w:pStyle w:val="FFFFB9FFFFD9FFFFC5FFFFC1FFFFB1FFFFDB"/>
              <w:wordWrap/>
              <w:spacing w:line="312" w:lineRule="auto"/>
              <w:ind w:left="859" w:hanging="859"/>
              <w:jc w:val="center"/>
              <w:rPr>
                <w:rFonts w:ascii="맑은 고딕" w:eastAsia="맑은 고딕" w:hAnsi="맑은 고딕" w:cs="맑은 고딕"/>
                <w:sz w:val="26"/>
                <w:szCs w:val="26"/>
              </w:rPr>
            </w:pPr>
            <w:r>
              <w:rPr>
                <w:rFonts w:ascii="맑은 고딕" w:eastAsia="맑은 고딕" w:hAnsi="맑은 고딕" w:cs="맑은 고딕"/>
                <w:sz w:val="26"/>
                <w:szCs w:val="26"/>
              </w:rPr>
              <w:t>2023. 0</w:t>
            </w:r>
            <w:r w:rsidR="00A839D8">
              <w:rPr>
                <w:rFonts w:ascii="맑은 고딕" w:eastAsia="맑은 고딕" w:hAnsi="맑은 고딕" w:cs="맑은 고딕"/>
                <w:sz w:val="26"/>
                <w:szCs w:val="26"/>
              </w:rPr>
              <w:t>4</w:t>
            </w:r>
            <w:r>
              <w:rPr>
                <w:rFonts w:ascii="맑은 고딕" w:eastAsia="맑은 고딕" w:hAnsi="맑은 고딕" w:cs="맑은 고딕"/>
                <w:sz w:val="26"/>
                <w:szCs w:val="26"/>
              </w:rPr>
              <w:t xml:space="preserve">. </w:t>
            </w:r>
            <w:r w:rsidR="00A839D8">
              <w:rPr>
                <w:rFonts w:ascii="맑은 고딕" w:eastAsia="맑은 고딕" w:hAnsi="맑은 고딕" w:cs="맑은 고딕"/>
                <w:sz w:val="26"/>
                <w:szCs w:val="26"/>
              </w:rPr>
              <w:t>28</w:t>
            </w:r>
            <w:r>
              <w:rPr>
                <w:rFonts w:ascii="맑은 고딕" w:eastAsia="맑은 고딕" w:hAnsi="맑은 고딕" w:cs="맑은 고딕"/>
                <w:sz w:val="26"/>
                <w:szCs w:val="26"/>
              </w:rPr>
              <w:t xml:space="preserve">. </w:t>
            </w:r>
            <w:r w:rsidR="00C46526">
              <w:rPr>
                <w:rFonts w:ascii="맑은 고딕" w:eastAsia="맑은 고딕" w:hAnsi="맑은 고딕" w:cs="맑은 고딕"/>
                <w:sz w:val="26"/>
                <w:szCs w:val="26"/>
              </w:rPr>
              <w:t>(</w:t>
            </w:r>
            <w:r w:rsidR="00207C7B">
              <w:rPr>
                <w:rFonts w:ascii="맑은 고딕" w:eastAsia="맑은 고딕" w:hAnsi="맑은 고딕" w:cs="맑은 고딕" w:hint="eastAsia"/>
                <w:sz w:val="26"/>
                <w:szCs w:val="26"/>
              </w:rPr>
              <w:t>금</w:t>
            </w:r>
            <w:r>
              <w:rPr>
                <w:rFonts w:ascii="맑은 고딕" w:eastAsia="맑은 고딕" w:hAnsi="맑은 고딕" w:cs="맑은 고딕"/>
                <w:sz w:val="26"/>
                <w:szCs w:val="26"/>
              </w:rPr>
              <w:t>)</w:t>
            </w:r>
          </w:p>
        </w:tc>
      </w:tr>
      <w:tr w:rsidR="008D7AC1" w14:paraId="62CD21CA" w14:textId="77777777">
        <w:trPr>
          <w:gridBefore w:val="1"/>
          <w:gridAfter w:val="1"/>
          <w:wBefore w:w="24" w:type="dxa"/>
          <w:wAfter w:w="24" w:type="dxa"/>
          <w:trHeight w:val="317"/>
        </w:trPr>
        <w:tc>
          <w:tcPr>
            <w:tcW w:w="1254" w:type="dxa"/>
            <w:tcBorders>
              <w:top w:val="single" w:sz="2" w:space="0" w:color="4C4C4C"/>
              <w:left w:val="single" w:sz="8" w:space="0" w:color="4C4C4C"/>
              <w:bottom w:val="single" w:sz="8" w:space="0" w:color="4C4C4C"/>
              <w:right w:val="single" w:sz="2" w:space="0" w:color="4C4C4C"/>
            </w:tcBorders>
            <w:vAlign w:val="center"/>
          </w:tcPr>
          <w:p w14:paraId="2DB41EC0" w14:textId="77777777" w:rsidR="008D7AC1" w:rsidRDefault="008D7AC1">
            <w:pPr>
              <w:pStyle w:val="FFFFB9FFFFD9FFFFC5FFFFC1FFFFB1FFFFDB"/>
              <w:wordWrap/>
              <w:spacing w:line="264" w:lineRule="auto"/>
              <w:ind w:left="859" w:hanging="859"/>
              <w:jc w:val="center"/>
              <w:rPr>
                <w:rFonts w:ascii="맑은 고딕" w:eastAsia="맑은 고딕" w:hAnsi="맑은 고딕" w:cs="맑은 고딕"/>
                <w:sz w:val="26"/>
                <w:szCs w:val="26"/>
              </w:rPr>
            </w:pPr>
            <w:r>
              <w:rPr>
                <w:rFonts w:ascii="맑은 고딕" w:eastAsia="맑은 고딕" w:hAnsi="맑은 고딕" w:cs="맑은 고딕" w:hint="eastAsia"/>
                <w:sz w:val="26"/>
                <w:szCs w:val="26"/>
              </w:rPr>
              <w:t>문</w:t>
            </w:r>
            <w:r>
              <w:rPr>
                <w:rFonts w:ascii="맑은 고딕" w:eastAsia="맑은 고딕" w:hAnsi="맑은 고딕" w:cs="맑은 고딕"/>
                <w:sz w:val="26"/>
                <w:szCs w:val="26"/>
              </w:rPr>
              <w:t xml:space="preserve"> </w:t>
            </w:r>
            <w:r>
              <w:rPr>
                <w:rFonts w:ascii="맑은 고딕" w:eastAsia="맑은 고딕" w:hAnsi="맑은 고딕" w:cs="맑은 고딕" w:hint="eastAsia"/>
                <w:sz w:val="26"/>
                <w:szCs w:val="26"/>
              </w:rPr>
              <w:t>의</w:t>
            </w:r>
          </w:p>
        </w:tc>
        <w:tc>
          <w:tcPr>
            <w:tcW w:w="8223" w:type="dxa"/>
            <w:gridSpan w:val="3"/>
            <w:tcBorders>
              <w:top w:val="single" w:sz="2" w:space="0" w:color="4C4C4C"/>
              <w:left w:val="single" w:sz="2" w:space="0" w:color="4C4C4C"/>
              <w:bottom w:val="single" w:sz="8" w:space="0" w:color="4C4C4C"/>
              <w:right w:val="single" w:sz="8" w:space="0" w:color="4C4C4C"/>
            </w:tcBorders>
            <w:vAlign w:val="center"/>
          </w:tcPr>
          <w:p w14:paraId="720C740E" w14:textId="692FDFBF" w:rsidR="008D7AC1" w:rsidRDefault="00A839D8">
            <w:pPr>
              <w:pStyle w:val="FFFFB9FFFFD9FFFFC5FFFFC1FFFFB1FFFFDB"/>
              <w:wordWrap/>
              <w:spacing w:line="264" w:lineRule="auto"/>
              <w:jc w:val="center"/>
              <w:rPr>
                <w:rFonts w:ascii="맑은 고딕" w:eastAsia="맑은 고딕" w:hAnsi="맑은 고딕" w:cs="맑은 고딕"/>
                <w:w w:val="90"/>
              </w:rPr>
            </w:pPr>
            <w:proofErr w:type="spellStart"/>
            <w:r>
              <w:rPr>
                <w:rFonts w:ascii="맑은 고딕" w:eastAsia="맑은 고딕" w:hAnsi="맑은 고딕" w:cs="맑은 고딕" w:hint="eastAsia"/>
                <w:w w:val="90"/>
              </w:rPr>
              <w:t>석광훈</w:t>
            </w:r>
            <w:proofErr w:type="spellEnd"/>
            <w:r w:rsidR="008D7AC1">
              <w:rPr>
                <w:rFonts w:ascii="맑은 고딕" w:eastAsia="맑은 고딕" w:hAnsi="맑은 고딕" w:cs="맑은 고딕"/>
                <w:w w:val="90"/>
              </w:rPr>
              <w:t xml:space="preserve"> </w:t>
            </w:r>
            <w:proofErr w:type="gramStart"/>
            <w:r>
              <w:rPr>
                <w:rFonts w:ascii="맑은 고딕" w:eastAsia="맑은 고딕" w:hAnsi="맑은 고딕" w:cs="맑은 고딕" w:hint="eastAsia"/>
                <w:w w:val="90"/>
              </w:rPr>
              <w:t>전문위원</w:t>
            </w:r>
            <w:r w:rsidR="008D7AC1">
              <w:rPr>
                <w:rFonts w:ascii="맑은 고딕" w:eastAsia="맑은 고딕" w:hAnsi="맑은 고딕" w:cs="맑은 고딕"/>
                <w:w w:val="90"/>
              </w:rPr>
              <w:t xml:space="preserve">  admin</w:t>
            </w:r>
            <w:proofErr w:type="gramEnd"/>
            <w:r w:rsidR="008D7AC1">
              <w:rPr>
                <w:rFonts w:ascii="맑은 고딕" w:eastAsia="맑은 고딕" w:hAnsi="맑은 고딕" w:cs="맑은 고딕"/>
                <w:w w:val="90"/>
              </w:rPr>
              <w:t>@</w:t>
            </w:r>
            <w:hyperlink r:id="rId5" w:history="1">
              <w:r w:rsidR="008D7AC1">
                <w:rPr>
                  <w:rFonts w:ascii="맑은 고딕" w:eastAsia="맑은 고딕" w:hAnsi="맑은 고딕" w:cs="맑은 고딕"/>
                  <w:color w:val="800080"/>
                  <w:w w:val="90"/>
                </w:rPr>
                <w:t>energytransitionkorea.org</w:t>
              </w:r>
            </w:hyperlink>
            <w:r w:rsidR="008D7AC1">
              <w:rPr>
                <w:rFonts w:ascii="맑은 고딕" w:eastAsia="맑은 고딕" w:hAnsi="맑은 고딕" w:cs="맑은 고딕"/>
                <w:w w:val="90"/>
              </w:rPr>
              <w:t xml:space="preserve"> http://energytransitionkorea.org</w:t>
            </w:r>
          </w:p>
        </w:tc>
      </w:tr>
      <w:tr w:rsidR="008D7AC1" w14:paraId="129EF3A2" w14:textId="77777777" w:rsidTr="00A839D8">
        <w:tblPrEx>
          <w:tblCellMar>
            <w:top w:w="28" w:type="dxa"/>
            <w:left w:w="28" w:type="dxa"/>
            <w:bottom w:w="28" w:type="dxa"/>
            <w:right w:w="28" w:type="dxa"/>
          </w:tblCellMar>
        </w:tblPrEx>
        <w:trPr>
          <w:trHeight w:val="2453"/>
        </w:trPr>
        <w:tc>
          <w:tcPr>
            <w:tcW w:w="9525" w:type="dxa"/>
            <w:gridSpan w:val="6"/>
            <w:tcBorders>
              <w:top w:val="single" w:sz="13" w:space="0" w:color="000000"/>
              <w:left w:val="nil"/>
              <w:bottom w:val="single" w:sz="13" w:space="0" w:color="000000"/>
              <w:right w:val="nil"/>
            </w:tcBorders>
            <w:shd w:val="clear" w:color="auto" w:fill="E5E5E5"/>
            <w:vAlign w:val="center"/>
          </w:tcPr>
          <w:p w14:paraId="3018C283" w14:textId="77777777" w:rsidR="00A839D8" w:rsidRDefault="008D7AC1" w:rsidP="008D7AC1">
            <w:pPr>
              <w:pStyle w:val="FFFFB9FFFFD9FFFFC5FFFFC1FFFFB1FFFFDB"/>
              <w:wordWrap/>
              <w:spacing w:line="240" w:lineRule="auto"/>
              <w:jc w:val="center"/>
              <w:rPr>
                <w:rFonts w:ascii="HY헤드라인M" w:eastAsia="HY헤드라인M" w:hAnsi="HY헤드라인M" w:cs="HY헤드라인M"/>
                <w:b/>
                <w:bCs/>
                <w:spacing w:val="-20"/>
                <w:sz w:val="40"/>
                <w:szCs w:val="40"/>
              </w:rPr>
            </w:pPr>
            <w:r>
              <w:rPr>
                <w:rFonts w:ascii="ÇÔÃÊ·Òµ¸¿ò" w:eastAsia="휴먼명조" w:hAnsi="ÇÔÃÊ·Òµ¸¿ò" w:cs="ÇÔÃÊ·Òµ¸¿ò"/>
                <w:b/>
                <w:bCs/>
                <w:spacing w:val="-12"/>
                <w:sz w:val="30"/>
                <w:szCs w:val="30"/>
              </w:rPr>
              <w:t xml:space="preserve">  </w:t>
            </w:r>
            <w:r>
              <w:rPr>
                <w:rFonts w:ascii="ÇÔÃÊ·Òµ¸¿ò" w:eastAsia="휴먼명조" w:hAnsi="ÇÔÃÊ·Òµ¸¿ò" w:cs="ÇÔÃÊ·Òµ¸¿ò"/>
                <w:b/>
                <w:bCs/>
                <w:spacing w:val="-3"/>
                <w:sz w:val="8"/>
                <w:szCs w:val="8"/>
              </w:rPr>
              <w:t xml:space="preserve">  </w:t>
            </w:r>
            <w:r w:rsidR="00A839D8">
              <w:rPr>
                <w:rFonts w:ascii="HY헤드라인M" w:eastAsia="HY헤드라인M" w:hAnsi="HY헤드라인M" w:cs="HY헤드라인M" w:hint="eastAsia"/>
                <w:b/>
                <w:bCs/>
                <w:spacing w:val="-20"/>
                <w:sz w:val="40"/>
                <w:szCs w:val="40"/>
              </w:rPr>
              <w:t xml:space="preserve">한미정상 공동성명에 대한 </w:t>
            </w:r>
          </w:p>
          <w:p w14:paraId="530006B3" w14:textId="2F6E289C" w:rsidR="0095526E" w:rsidRDefault="00A839D8" w:rsidP="008D7AC1">
            <w:pPr>
              <w:pStyle w:val="FFFFB9FFFFD9FFFFC5FFFFC1FFFFB1FFFFDB"/>
              <w:wordWrap/>
              <w:spacing w:line="240" w:lineRule="auto"/>
              <w:jc w:val="center"/>
              <w:rPr>
                <w:rFonts w:ascii="HY헤드라인M" w:eastAsia="HY헤드라인M" w:hAnsi="HY헤드라인M" w:cs="HY헤드라인M"/>
                <w:b/>
                <w:bCs/>
                <w:spacing w:val="-20"/>
                <w:sz w:val="40"/>
                <w:szCs w:val="40"/>
              </w:rPr>
            </w:pPr>
            <w:r>
              <w:rPr>
                <w:rFonts w:ascii="HY헤드라인M" w:eastAsia="HY헤드라인M" w:hAnsi="HY헤드라인M" w:cs="HY헤드라인M" w:hint="eastAsia"/>
                <w:b/>
                <w:bCs/>
                <w:spacing w:val="-20"/>
                <w:sz w:val="40"/>
                <w:szCs w:val="40"/>
              </w:rPr>
              <w:t>에너지전환포럼 긴급 논평</w:t>
            </w:r>
            <w:r w:rsidR="008D7AC1">
              <w:rPr>
                <w:rFonts w:ascii="HY헤드라인M" w:eastAsia="HY헤드라인M" w:hAnsi="HY헤드라인M" w:cs="HY헤드라인M"/>
                <w:b/>
                <w:bCs/>
                <w:spacing w:val="-20"/>
                <w:sz w:val="40"/>
                <w:szCs w:val="40"/>
              </w:rPr>
              <w:t xml:space="preserve"> </w:t>
            </w:r>
          </w:p>
          <w:p w14:paraId="72962104" w14:textId="6BD99A39" w:rsidR="008D7AC1" w:rsidRPr="00A839D8" w:rsidRDefault="008D7AC1" w:rsidP="008D7AC1">
            <w:pPr>
              <w:pStyle w:val="FFFFB9FFFFD9FFFFC5FFFFC1FFFFB1FFFFDB"/>
              <w:wordWrap/>
              <w:spacing w:line="240" w:lineRule="auto"/>
              <w:jc w:val="center"/>
              <w:rPr>
                <w:rFonts w:ascii="HY헤드라인M" w:eastAsia="HY헤드라인M" w:hAnsi="HY헤드라인M" w:cs="HY헤드라인M"/>
                <w:b/>
                <w:bCs/>
                <w:spacing w:val="-20"/>
                <w:sz w:val="24"/>
                <w:szCs w:val="24"/>
              </w:rPr>
            </w:pPr>
          </w:p>
          <w:p w14:paraId="047D801B" w14:textId="45AD97C0" w:rsidR="008D7AC1" w:rsidRDefault="00A839D8" w:rsidP="008D7AC1">
            <w:pPr>
              <w:pStyle w:val="FFFFB9FFFFD9FFFFC5FFFFC1FFFFB1FFFFDB"/>
              <w:numPr>
                <w:ilvl w:val="0"/>
                <w:numId w:val="1"/>
              </w:numPr>
              <w:spacing w:line="240" w:lineRule="auto"/>
              <w:ind w:left="288" w:hanging="288"/>
              <w:rPr>
                <w:rFonts w:ascii="HY헤드라인M" w:eastAsia="HY헤드라인M" w:hAnsi="HY헤드라인M" w:cs="HY헤드라인M"/>
                <w:spacing w:val="-12"/>
                <w:sz w:val="24"/>
                <w:szCs w:val="24"/>
              </w:rPr>
            </w:pPr>
            <w:r>
              <w:rPr>
                <w:rFonts w:ascii="HY헤드라인M" w:eastAsia="HY헤드라인M" w:hAnsi="HY헤드라인M" w:cs="HY헤드라인M" w:hint="eastAsia"/>
                <w:spacing w:val="-12"/>
                <w:sz w:val="24"/>
                <w:szCs w:val="24"/>
              </w:rPr>
              <w:t xml:space="preserve">공허한 한미 원전협력 홍보에 국내 에너지정책은 무정부 상태 </w:t>
            </w:r>
          </w:p>
          <w:p w14:paraId="1B3D1D6F" w14:textId="52F8853E" w:rsidR="008D7AC1" w:rsidRPr="00A839D8" w:rsidRDefault="00A839D8" w:rsidP="00A839D8">
            <w:pPr>
              <w:pStyle w:val="FFFFB9FFFFD9FFFFC5FFFFC1FFFFB1FFFFDB"/>
              <w:numPr>
                <w:ilvl w:val="0"/>
                <w:numId w:val="1"/>
              </w:numPr>
              <w:spacing w:line="240" w:lineRule="auto"/>
              <w:ind w:left="288" w:hanging="288"/>
              <w:rPr>
                <w:rFonts w:ascii="HY헤드라인M" w:eastAsia="HY헤드라인M" w:hAnsi="HY헤드라인M" w:cs="HY헤드라인M"/>
                <w:spacing w:val="-12"/>
                <w:sz w:val="24"/>
                <w:szCs w:val="24"/>
              </w:rPr>
            </w:pPr>
            <w:r>
              <w:rPr>
                <w:rFonts w:ascii="HY헤드라인M" w:eastAsia="HY헤드라인M" w:hAnsi="HY헤드라인M" w:cs="HY헤드라인M"/>
                <w:spacing w:val="-12"/>
                <w:sz w:val="24"/>
                <w:szCs w:val="24"/>
              </w:rPr>
              <w:t>“</w:t>
            </w:r>
            <w:r>
              <w:rPr>
                <w:rFonts w:ascii="HY헤드라인M" w:eastAsia="HY헤드라인M" w:hAnsi="HY헤드라인M" w:cs="HY헤드라인M" w:hint="eastAsia"/>
                <w:spacing w:val="-12"/>
                <w:sz w:val="24"/>
                <w:szCs w:val="24"/>
              </w:rPr>
              <w:t>지적재산권 존중,</w:t>
            </w:r>
            <w:r>
              <w:rPr>
                <w:rFonts w:ascii="HY헤드라인M" w:eastAsia="HY헤드라인M" w:hAnsi="HY헤드라인M" w:cs="HY헤드라인M"/>
                <w:spacing w:val="-12"/>
                <w:sz w:val="24"/>
                <w:szCs w:val="24"/>
              </w:rPr>
              <w:t xml:space="preserve"> IAEA </w:t>
            </w:r>
            <w:r>
              <w:rPr>
                <w:rFonts w:ascii="HY헤드라인M" w:eastAsia="HY헤드라인M" w:hAnsi="HY헤드라인M" w:cs="HY헤드라인M" w:hint="eastAsia"/>
                <w:spacing w:val="-12"/>
                <w:sz w:val="24"/>
                <w:szCs w:val="24"/>
              </w:rPr>
              <w:t>추가의정서 준수</w:t>
            </w:r>
            <w:r>
              <w:rPr>
                <w:rFonts w:ascii="HY헤드라인M" w:eastAsia="HY헤드라인M" w:hAnsi="HY헤드라인M" w:cs="HY헤드라인M"/>
                <w:spacing w:val="-12"/>
                <w:sz w:val="24"/>
                <w:szCs w:val="24"/>
              </w:rPr>
              <w:t>”</w:t>
            </w:r>
            <w:r>
              <w:rPr>
                <w:rFonts w:ascii="HY헤드라인M" w:eastAsia="HY헤드라인M" w:hAnsi="HY헤드라인M" w:cs="HY헤드라인M" w:hint="eastAsia"/>
                <w:spacing w:val="-12"/>
                <w:sz w:val="24"/>
                <w:szCs w:val="24"/>
              </w:rPr>
              <w:t xml:space="preserve">는 한국 원전수출에 대한 경고 </w:t>
            </w:r>
          </w:p>
        </w:tc>
      </w:tr>
    </w:tbl>
    <w:p w14:paraId="3B78D270" w14:textId="77777777" w:rsidR="008D7AC1" w:rsidRPr="00A839D8" w:rsidRDefault="008D7AC1" w:rsidP="008D7AC1">
      <w:pPr>
        <w:pStyle w:val="FFFFBAFFFFBBFFFFB9FFFFAE"/>
        <w:ind w:left="0"/>
        <w:rPr>
          <w:sz w:val="10"/>
          <w:szCs w:val="10"/>
        </w:rPr>
      </w:pPr>
    </w:p>
    <w:p w14:paraId="49365C85" w14:textId="6137171C" w:rsidR="00A839D8" w:rsidRPr="00A839D8" w:rsidRDefault="00A839D8" w:rsidP="00A839D8">
      <w:pPr>
        <w:pStyle w:val="FFFFB9FFFFD9FFFFC5FFFFC1FFFFB1FFFFDB"/>
        <w:spacing w:line="276" w:lineRule="auto"/>
        <w:ind w:firstLineChars="100" w:firstLine="240"/>
        <w:rPr>
          <w:sz w:val="24"/>
          <w:szCs w:val="24"/>
        </w:rPr>
      </w:pPr>
      <w:r w:rsidRPr="00A839D8">
        <w:rPr>
          <w:rFonts w:hint="eastAsia"/>
          <w:sz w:val="24"/>
          <w:szCs w:val="24"/>
        </w:rPr>
        <w:t xml:space="preserve">이번 공동성명에는 이례적으로 “양 정상은 각국의 수출 통제 규정과 지적재산권(지재권)을 상호 존중하는 가운데, 국제원자력기구(IAEA) 추가의정서에 일치하는 방식으로 세계적 민간 원자력 협력에 참여하기로 약속한다.”는 문장이 포함되었다. 지난 2021년 5월 전 문재인정부와 바이든 행정부간의 정상 공동성명 발표에서는 본문에 담기지 않고 이른바 팩트시트(Factsheet)에만 </w:t>
      </w:r>
      <w:r>
        <w:rPr>
          <w:rFonts w:hint="eastAsia"/>
          <w:sz w:val="24"/>
          <w:szCs w:val="24"/>
        </w:rPr>
        <w:t xml:space="preserve">담겼던 </w:t>
      </w:r>
      <w:r w:rsidRPr="00A839D8">
        <w:rPr>
          <w:rFonts w:hint="eastAsia"/>
          <w:sz w:val="24"/>
          <w:szCs w:val="24"/>
        </w:rPr>
        <w:t>대상이 특정되지 않은 지재권 존중, 원전수출 대상국의 국제원자력기구(IAEA) 추가의정서 준수 문구가 이번에는 원전협력 관련 요구조건으로 공동성명에 포함된 것이다.</w:t>
      </w:r>
    </w:p>
    <w:p w14:paraId="45883235" w14:textId="197E7B3F" w:rsidR="00A839D8" w:rsidRPr="00A839D8" w:rsidRDefault="00A839D8" w:rsidP="00A839D8">
      <w:pPr>
        <w:pStyle w:val="FFFFB9FFFFD9FFFFC5FFFFC1FFFFB1FFFFDB"/>
        <w:spacing w:line="276" w:lineRule="auto"/>
        <w:ind w:firstLineChars="100" w:firstLine="240"/>
        <w:rPr>
          <w:sz w:val="24"/>
          <w:szCs w:val="24"/>
        </w:rPr>
      </w:pPr>
      <w:r w:rsidRPr="00A839D8">
        <w:rPr>
          <w:rFonts w:hint="eastAsia"/>
          <w:sz w:val="24"/>
          <w:szCs w:val="24"/>
        </w:rPr>
        <w:t>IAEA 추가의정서는 가입국의 핵활동에 대한 핵사찰을 의무화한 국제 핵비확산체제의 일환이지만, 이는 이명박정부 시절부터 사우디아라비아에 원전수출을 모색해온 한국에게 무모한 원전수출 시도를 중단하라는 경고성 메시지였다. 지금까지 우라늄농축 권한을 공공연히 주창해온 사우디는 이 추가의정서 가입을 거부해왔고, 미국은 핵확산위험 때문에 사우디와의 원자력협정 체결을 불허해왔다. 이번 성명으로 인해 한국이 지난 15년간 추진해온 사우디 원전수출은 사실상 금지된 셈이다.</w:t>
      </w:r>
    </w:p>
    <w:p w14:paraId="6470629F" w14:textId="7788CBC7" w:rsidR="00A839D8" w:rsidRPr="00A839D8" w:rsidRDefault="00A839D8" w:rsidP="003F3AEE">
      <w:pPr>
        <w:pStyle w:val="FFFFB9FFFFD9FFFFC5FFFFC1FFFFB1FFFFDB"/>
        <w:spacing w:line="276" w:lineRule="auto"/>
        <w:ind w:firstLineChars="100" w:firstLine="240"/>
        <w:rPr>
          <w:sz w:val="24"/>
          <w:szCs w:val="24"/>
        </w:rPr>
      </w:pPr>
      <w:r w:rsidRPr="00A839D8">
        <w:rPr>
          <w:rFonts w:hint="eastAsia"/>
          <w:sz w:val="24"/>
          <w:szCs w:val="24"/>
        </w:rPr>
        <w:t>지재권 존중 문구는 더 심각하다. 이미 한미간 소송이 진행중인 상황에서 한미공동성명의 문구로 원전을 특정해 지재권 존중을 새로이 담은 것이기 때문이다. 지난해 한국수력원자력(한수원)의 폴란드 원전수출 추진과정에서 웨스팅하우스는 미국법원에 한수원의 APR-1400 원전은 웨스팅하우스의 시스템80(System 80) 설계에 기</w:t>
      </w:r>
      <w:r w:rsidRPr="00A839D8">
        <w:rPr>
          <w:rFonts w:hint="eastAsia"/>
          <w:sz w:val="24"/>
          <w:szCs w:val="24"/>
        </w:rPr>
        <w:lastRenderedPageBreak/>
        <w:t>반한 기술로 이의 제3국 수출을 제한해달라는</w:t>
      </w:r>
      <w:r>
        <w:rPr>
          <w:sz w:val="24"/>
          <w:szCs w:val="24"/>
        </w:rPr>
        <w:t xml:space="preserve"> </w:t>
      </w:r>
      <w:r w:rsidRPr="00A839D8">
        <w:rPr>
          <w:rFonts w:hint="eastAsia"/>
          <w:sz w:val="24"/>
          <w:szCs w:val="24"/>
        </w:rPr>
        <w:t>소를 제기했다.</w:t>
      </w:r>
    </w:p>
    <w:p w14:paraId="46846ABE" w14:textId="77777777" w:rsidR="00A839D8" w:rsidRPr="003F3AEE" w:rsidRDefault="00A839D8" w:rsidP="00A839D8">
      <w:pPr>
        <w:pStyle w:val="FFFFB9FFFFD9FFFFC5FFFFC1FFFFB1FFFFDB"/>
        <w:spacing w:line="276" w:lineRule="auto"/>
        <w:rPr>
          <w:sz w:val="16"/>
          <w:szCs w:val="16"/>
        </w:rPr>
      </w:pPr>
    </w:p>
    <w:p w14:paraId="60FFD3F6" w14:textId="77777777" w:rsidR="00A839D8" w:rsidRPr="00A839D8" w:rsidRDefault="00A839D8" w:rsidP="00A839D8">
      <w:pPr>
        <w:pStyle w:val="FFFFB9FFFFD9FFFFC5FFFFC1FFFFB1FFFFDB"/>
        <w:spacing w:line="276" w:lineRule="auto"/>
        <w:rPr>
          <w:b/>
          <w:bCs/>
          <w:sz w:val="24"/>
          <w:szCs w:val="24"/>
        </w:rPr>
      </w:pPr>
      <w:r w:rsidRPr="00A839D8">
        <w:rPr>
          <w:rFonts w:hint="eastAsia"/>
          <w:b/>
          <w:bCs/>
          <w:sz w:val="24"/>
          <w:szCs w:val="24"/>
        </w:rPr>
        <w:t>성명 발표일 폴란드 방문한 웨스팅하우스 사장의 강경발언</w:t>
      </w:r>
    </w:p>
    <w:p w14:paraId="51737582" w14:textId="77777777" w:rsidR="00A839D8" w:rsidRPr="003F3AEE" w:rsidRDefault="00A839D8" w:rsidP="00A839D8">
      <w:pPr>
        <w:pStyle w:val="FFFFB9FFFFD9FFFFC5FFFFC1FFFFB1FFFFDB"/>
        <w:spacing w:line="276" w:lineRule="auto"/>
        <w:rPr>
          <w:sz w:val="16"/>
          <w:szCs w:val="16"/>
        </w:rPr>
      </w:pPr>
    </w:p>
    <w:p w14:paraId="556FE0B4" w14:textId="244ACCD9" w:rsidR="00A839D8" w:rsidRPr="00A839D8" w:rsidRDefault="00A839D8" w:rsidP="003F3AEE">
      <w:pPr>
        <w:pStyle w:val="FFFFB9FFFFD9FFFFC5FFFFC1FFFFB1FFFFDB"/>
        <w:spacing w:line="276" w:lineRule="auto"/>
        <w:ind w:firstLineChars="100" w:firstLine="240"/>
        <w:rPr>
          <w:sz w:val="24"/>
          <w:szCs w:val="24"/>
        </w:rPr>
      </w:pPr>
      <w:r w:rsidRPr="00A839D8">
        <w:rPr>
          <w:rFonts w:hint="eastAsia"/>
          <w:sz w:val="24"/>
          <w:szCs w:val="24"/>
        </w:rPr>
        <w:t>더욱이 공동성명이 발표되던 27일 웨스팅하우스 패트릭 프래그먼 사장이 바르샤바를 방문해 폴란드 언론사 기자단과의 대화에서 “우리에게 한국의 (퐁트누프) 원전사업은 가상의 사업일 뿐 실현가능한 사업이 아니다. 미국법과 국제법을 어기고 있기 때문이다. 우리는 폴란드에 한국원전이 절대로 건설될 수 없을 것으로 본다.”는 발언을 했다. 또한 한수원과의 협상가능성을 묻는 기자들에게 “협상의 여지는 거의 없다. 소송은 협상으로 얻을 수 있는 것이 더 이상 없을 때 사용하는 마지막 수단이다.”고 답했다. 이 같은 프래그먼 사장의 발언은 현지 에너제티카24(Energetyka24) 등 복수의 언론을 통해 당일 보도되었다.</w:t>
      </w:r>
    </w:p>
    <w:p w14:paraId="400C497C" w14:textId="64A153B5" w:rsidR="00A839D8" w:rsidRPr="00A839D8" w:rsidRDefault="00A839D8" w:rsidP="003F3AEE">
      <w:pPr>
        <w:pStyle w:val="FFFFB9FFFFD9FFFFC5FFFFC1FFFFB1FFFFDB"/>
        <w:spacing w:line="276" w:lineRule="auto"/>
        <w:ind w:firstLineChars="100" w:firstLine="240"/>
        <w:rPr>
          <w:sz w:val="24"/>
          <w:szCs w:val="24"/>
        </w:rPr>
      </w:pPr>
      <w:r w:rsidRPr="00A839D8">
        <w:rPr>
          <w:rFonts w:hint="eastAsia"/>
          <w:sz w:val="24"/>
          <w:szCs w:val="24"/>
        </w:rPr>
        <w:t>같은 날 공동성명 본문에 새롭게 담긴 원전 지재권 문구와 웨스팅하우스의 강경발언은 그 기조가 일치하고 있으며 미 정부와 웨스팅하우스간 사전교감의 흔적이 역력하다. 이는 후쿠시마 사고이후 중국, 러시아를 제외하고 대폭 축소된 세계 원전시장에서 원자력계의 절박감을 보여준다. 윤석열정부는 이처럼 사양길에 접어든 세계 원전시장에서 무리한 원전수출 업적 추구로 무의미한 행정력낭비와 공기업의 자원낭비를 자제해야 한다.</w:t>
      </w:r>
    </w:p>
    <w:p w14:paraId="326BE9B2" w14:textId="77777777" w:rsidR="00A839D8" w:rsidRPr="003F3AEE" w:rsidRDefault="00A839D8" w:rsidP="00A839D8">
      <w:pPr>
        <w:pStyle w:val="FFFFB9FFFFD9FFFFC5FFFFC1FFFFB1FFFFDB"/>
        <w:spacing w:line="276" w:lineRule="auto"/>
        <w:rPr>
          <w:sz w:val="16"/>
          <w:szCs w:val="16"/>
        </w:rPr>
      </w:pPr>
    </w:p>
    <w:p w14:paraId="70F12EB9" w14:textId="77777777" w:rsidR="00A839D8" w:rsidRPr="00A839D8" w:rsidRDefault="00A839D8" w:rsidP="00A839D8">
      <w:pPr>
        <w:pStyle w:val="FFFFB9FFFFD9FFFFC5FFFFC1FFFFB1FFFFDB"/>
        <w:spacing w:line="276" w:lineRule="auto"/>
        <w:rPr>
          <w:b/>
          <w:bCs/>
          <w:sz w:val="24"/>
          <w:szCs w:val="24"/>
        </w:rPr>
      </w:pPr>
      <w:r w:rsidRPr="00A839D8">
        <w:rPr>
          <w:rFonts w:hint="eastAsia"/>
          <w:b/>
          <w:bCs/>
          <w:sz w:val="24"/>
          <w:szCs w:val="24"/>
        </w:rPr>
        <w:t>공허한 원전수출 업적쌓기 중단하고, 산적한 국내 에너지문제에 집중해야</w:t>
      </w:r>
    </w:p>
    <w:p w14:paraId="6F9A5FF9" w14:textId="77777777" w:rsidR="00A839D8" w:rsidRPr="003F3AEE" w:rsidRDefault="00A839D8" w:rsidP="00A839D8">
      <w:pPr>
        <w:pStyle w:val="FFFFB9FFFFD9FFFFC5FFFFC1FFFFB1FFFFDB"/>
        <w:spacing w:line="276" w:lineRule="auto"/>
        <w:rPr>
          <w:sz w:val="16"/>
          <w:szCs w:val="16"/>
        </w:rPr>
      </w:pPr>
    </w:p>
    <w:p w14:paraId="03949237" w14:textId="76095E84" w:rsidR="00A839D8" w:rsidRPr="008D7AC1" w:rsidRDefault="00A839D8" w:rsidP="003F3AEE">
      <w:pPr>
        <w:pStyle w:val="FFFFB9FFFFD9FFFFC5FFFFC1FFFFB1FFFFDB"/>
        <w:spacing w:line="276" w:lineRule="auto"/>
        <w:ind w:firstLineChars="100" w:firstLine="240"/>
        <w:rPr>
          <w:sz w:val="18"/>
          <w:szCs w:val="22"/>
        </w:rPr>
      </w:pPr>
      <w:r w:rsidRPr="00A839D8">
        <w:rPr>
          <w:rFonts w:hint="eastAsia"/>
          <w:sz w:val="24"/>
          <w:szCs w:val="24"/>
        </w:rPr>
        <w:t>정부는 그동안 한전, 가스공사의 천문학적 적자, 요금정상화 등 산적한 문제들을 모두 내팽</w:t>
      </w:r>
      <w:r w:rsidR="00D002DA">
        <w:rPr>
          <w:rFonts w:hint="eastAsia"/>
          <w:sz w:val="24"/>
          <w:szCs w:val="24"/>
        </w:rPr>
        <w:t>개</w:t>
      </w:r>
      <w:r w:rsidRPr="00A839D8">
        <w:rPr>
          <w:rFonts w:hint="eastAsia"/>
          <w:sz w:val="24"/>
          <w:szCs w:val="24"/>
        </w:rPr>
        <w:t>친 상태에서, 이번 공동성명에서 러시아 경제제재 동참까지 선언하면서 국내 에너지위기를 점입가경으로 몰아가고 있다. 정부는 공허한 원전수출 실적내기로 행정력낭비를 중단하고 현재 우리가 직면하고 있는 에너지 위기에 대해 그 책임을 다하길 바란다. 이미 이명박정부 시절부터 15년째 이어져온 사우디 원전수출의 허상이 이번 공동성명으로 종지부가 찍힌 만큼 같은 과오를 되풀이하지 말아야 한다. 특히 내년 총선을 의식해 복지부동상태에 있는 여당에게 내어준 전기·가스요금 결정권한을 회수하고, 전문화된 독립에너지 규제기구를 신설해 그 권한을 위임할 것을 촉구한다.</w:t>
      </w:r>
    </w:p>
    <w:sectPr w:rsidR="00A839D8" w:rsidRPr="008D7AC1">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맑은 고딕"/>
    <w:panose1 w:val="02030604000101010101"/>
    <w:charset w:val="81"/>
    <w:family w:val="roman"/>
    <w:pitch w:val="variable"/>
    <w:sig w:usb0="F7002EFF" w:usb1="19DFFFFF" w:usb2="001BFDD7" w:usb3="00000000" w:csb0="001F01FF" w:csb1="00000000"/>
  </w:font>
  <w:font w:name="ÇÔÃÊ·Òµ¸¿ò">
    <w:altName w:val="Calibri"/>
    <w:charset w:val="00"/>
    <w:family w:val="auto"/>
    <w:pitch w:val="default"/>
    <w:sig w:usb0="00000003" w:usb1="00000000" w:usb2="00000000" w:usb3="00000000" w:csb0="00000001" w:csb1="00000000"/>
  </w:font>
  <w:font w:name="휴먼명조">
    <w:altName w:val="맑은 고딕"/>
    <w:panose1 w:val="02010504000101010101"/>
    <w:charset w:val="81"/>
    <w:family w:val="auto"/>
    <w:pitch w:val="variable"/>
    <w:sig w:usb0="00000001" w:usb1="09060000" w:usb2="00000010" w:usb3="00000000" w:csb0="00080000" w:csb1="00000000"/>
  </w:font>
  <w:font w:name="함초롬돋움">
    <w:altName w:val="맑은 고딕"/>
    <w:panose1 w:val="020B0604000101010101"/>
    <w:charset w:val="81"/>
    <w:family w:val="modern"/>
    <w:pitch w:val="variable"/>
    <w:sig w:usb0="F7002EFF" w:usb1="19DFFFFF" w:usb2="001BFDD7" w:usb3="00000000" w:csb0="001F01FF" w:csb1="00000000"/>
  </w:font>
  <w:font w:name="HY헤드라인M">
    <w:altName w:val="맑은 고딕"/>
    <w:panose1 w:val="02030600000101010101"/>
    <w:charset w:val="81"/>
    <w:family w:val="roman"/>
    <w:pitch w:val="variable"/>
    <w:sig w:usb0="900002A7" w:usb1="09D77CF9" w:usb2="00000010" w:usb3="00000000" w:csb0="00080000" w:csb1="00000000"/>
  </w:font>
  <w:font w:name="한컴바탕">
    <w:altName w:val="맑은 고딕"/>
    <w:panose1 w:val="02030600000101010101"/>
    <w:charset w:val="81"/>
    <w:family w:val="auto"/>
    <w:pitch w:val="variable"/>
    <w:sig w:usb0="F7FFAFFF" w:usb1="FBDFFFFF" w:usb2="00FFFFFF" w:usb3="00000000" w:csb0="0008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FFFFFFFF"/>
    <w:lvl w:ilvl="0" w:tplc="00002716">
      <w:start w:val="1"/>
      <w:numFmt w:val="bullet"/>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988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C1"/>
    <w:rsid w:val="00207C7B"/>
    <w:rsid w:val="002B3543"/>
    <w:rsid w:val="003F3AEE"/>
    <w:rsid w:val="008D7AC1"/>
    <w:rsid w:val="0095526E"/>
    <w:rsid w:val="00A839D8"/>
    <w:rsid w:val="00C46526"/>
    <w:rsid w:val="00D002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D49A"/>
  <w15:chartTrackingRefBased/>
  <w15:docId w15:val="{E5D4C2CB-A3BD-3541-852E-5864641E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FFB9FFFFD9FFFFC5FFFFC1FFFFB1FFFFDB">
    <w:name w:val="FFFFB9FFFFD9FFFFC5FFFFC1FFFFB1FFFFDB"/>
    <w:rsid w:val="008D7AC1"/>
    <w:pPr>
      <w:widowControl w:val="0"/>
      <w:wordWrap w:val="0"/>
      <w:autoSpaceDE w:val="0"/>
      <w:autoSpaceDN w:val="0"/>
      <w:adjustRightInd w:val="0"/>
      <w:spacing w:line="384" w:lineRule="auto"/>
      <w:textAlignment w:val="baseline"/>
    </w:pPr>
    <w:rPr>
      <w:rFonts w:ascii="함초롬바탕" w:eastAsia="함초롬바탕" w:hAnsi="함초롬바탕" w:cs="함초롬바탕"/>
      <w:color w:val="000000"/>
      <w:kern w:val="0"/>
      <w:szCs w:val="20"/>
    </w:rPr>
  </w:style>
  <w:style w:type="paragraph" w:customStyle="1" w:styleId="FFFFBAFFFFBBFFFFB9FFFFAE">
    <w:name w:val="FFFFBAFFFFBBFFFFB9FFFFAE"/>
    <w:uiPriority w:val="1"/>
    <w:rsid w:val="008D7AC1"/>
    <w:pPr>
      <w:widowControl w:val="0"/>
      <w:wordWrap w:val="0"/>
      <w:autoSpaceDE w:val="0"/>
      <w:autoSpaceDN w:val="0"/>
      <w:adjustRightInd w:val="0"/>
      <w:spacing w:line="384" w:lineRule="auto"/>
      <w:ind w:left="300"/>
      <w:textAlignment w:val="baseline"/>
    </w:pPr>
    <w:rPr>
      <w:rFonts w:ascii="함초롬바탕" w:eastAsia="함초롬바탕" w:hAnsi="함초롬바탕" w:cs="함초롬바탕"/>
      <w:color w:val="000000"/>
      <w:kern w:val="0"/>
      <w:szCs w:val="20"/>
    </w:rPr>
  </w:style>
  <w:style w:type="paragraph" w:customStyle="1" w:styleId="FFFFB9FFFFD9FFFFC5FFFFC1FFFFB1FFFFDBFFFFBBFFFFE7FFFFBAFFFFBB2">
    <w:name w:val="FFFFB9FFFFD9FFFFC5FFFFC1FFFFB1FFFFDB FFFFBBFFFFE7FFFFBAFFFFBB2"/>
    <w:uiPriority w:val="2"/>
    <w:rsid w:val="008D7AC1"/>
    <w:pPr>
      <w:widowControl w:val="0"/>
      <w:wordWrap w:val="0"/>
      <w:autoSpaceDE w:val="0"/>
      <w:autoSpaceDN w:val="0"/>
      <w:adjustRightInd w:val="0"/>
      <w:spacing w:line="384" w:lineRule="auto"/>
      <w:textAlignment w:val="baseline"/>
    </w:pPr>
    <w:rPr>
      <w:rFonts w:ascii="ÇÔÃÊ·Òµ¸¿ò" w:eastAsia="휴먼명조" w:hAnsi="ÇÔÃÊ·Òµ¸¿ò" w:cs="ÇÔÃÊ·Òµ¸¿ò"/>
      <w:color w:val="000000"/>
      <w:kern w:val="0"/>
      <w:szCs w:val="20"/>
    </w:rPr>
  </w:style>
  <w:style w:type="paragraph" w:styleId="a3">
    <w:name w:val="Normal (Web)"/>
    <w:basedOn w:val="a"/>
    <w:uiPriority w:val="99"/>
    <w:semiHidden/>
    <w:unhideWhenUsed/>
    <w:rsid w:val="002B3543"/>
    <w:pPr>
      <w:widowControl/>
      <w:wordWrap/>
      <w:autoSpaceDE/>
      <w:autoSpaceDN/>
      <w:spacing w:before="100" w:beforeAutospacing="1" w:after="100" w:afterAutospacing="1"/>
      <w:jc w:val="left"/>
    </w:pPr>
    <w:rPr>
      <w:rFonts w:ascii="Times New Roman" w:eastAsia="Times New Roman"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7394">
      <w:bodyDiv w:val="1"/>
      <w:marLeft w:val="0"/>
      <w:marRight w:val="0"/>
      <w:marTop w:val="0"/>
      <w:marBottom w:val="0"/>
      <w:divBdr>
        <w:top w:val="none" w:sz="0" w:space="0" w:color="auto"/>
        <w:left w:val="none" w:sz="0" w:space="0" w:color="auto"/>
        <w:bottom w:val="none" w:sz="0" w:space="0" w:color="auto"/>
        <w:right w:val="none" w:sz="0" w:space="0" w:color="auto"/>
      </w:divBdr>
    </w:div>
    <w:div w:id="16103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ergytransition.kore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1842</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 재민</dc:creator>
  <cp:keywords/>
  <dc:description/>
  <cp:lastModifiedBy>에너지전환포럼</cp:lastModifiedBy>
  <cp:revision>4</cp:revision>
  <dcterms:created xsi:type="dcterms:W3CDTF">2023-04-28T04:39:00Z</dcterms:created>
  <dcterms:modified xsi:type="dcterms:W3CDTF">2023-04-28T05:16:00Z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e406c090dcd0e8d2be45d33d85cb16dd6f0f89ec767579d439868ed37b370145</vt:lpwstr>
  </property>
</Properties>
</file>